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Lista de revisión NOM-004</w:t>
      </w:r>
    </w:p>
    <w:p>
      <w:pPr>
        <w:spacing w:after="160"/>
      </w:pPr>
      <w:r>
        <w:rPr>
          <w:b w:val="0"/>
          <w:color w:val="666666"/>
          <w:sz w:val="18"/>
        </w:rPr>
        <w:t>Revisa 5 expedientes al azar. Marca Sí o No en cada uno.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5386"/>
          </w:tcPr>
          <w:p>
            <w:r>
              <w:rPr>
                <w:b/>
              </w:rPr>
              <w:t>Punto a revisar</w:t>
            </w:r>
          </w:p>
        </w:tc>
        <w:tc>
          <w:tcPr>
            <w:tcW w:type="dxa" w:w="1738"/>
          </w:tcPr>
          <w:p>
            <w:r>
              <w:rPr>
                <w:b/>
              </w:rPr>
              <w:t>Exp. 1</w:t>
            </w:r>
          </w:p>
        </w:tc>
        <w:tc>
          <w:tcPr>
            <w:tcW w:type="dxa" w:w="1738"/>
          </w:tcPr>
          <w:p>
            <w:r>
              <w:rPr>
                <w:b/>
              </w:rPr>
              <w:t>Exp. 2</w:t>
            </w:r>
          </w:p>
        </w:tc>
        <w:tc>
          <w:tcPr>
            <w:tcW w:type="dxa" w:w="1738"/>
          </w:tcPr>
          <w:p>
            <w:r>
              <w:rPr>
                <w:b/>
              </w:rPr>
              <w:t>Exp. 3</w:t>
            </w:r>
          </w:p>
        </w:tc>
        <w:tc>
          <w:tcPr>
            <w:tcW w:type="dxa" w:w="1738"/>
          </w:tcPr>
          <w:p>
            <w:r>
              <w:rPr>
                <w:b/>
              </w:rPr>
              <w:t>Exp. 4</w:t>
            </w:r>
          </w:p>
        </w:tc>
        <w:tc>
          <w:tcPr>
            <w:tcW w:type="dxa" w:w="1738"/>
          </w:tcPr>
          <w:p>
            <w:r>
              <w:rPr>
                <w:b/>
              </w:rPr>
              <w:t>Exp. 5</w:t>
            </w:r>
          </w:p>
        </w:tc>
      </w:tr>
      <w:tr>
        <w:tc>
          <w:tcPr>
            <w:tcW w:type="dxa" w:w="5386"/>
          </w:tcPr>
          <w:p>
            <w:r>
              <w:rPr>
                <w:sz w:val="18"/>
              </w:rPr>
              <w:t>Tiene historia clínica completa (interrogatorio, exploración, estudios, diagnósticos, pronóstico, indicación terapéutica)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Cada consulta tiene nota de evolución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Cada nota tiene fecha, hora, nombre completo y firma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La nota incluye signos vitales y diagnósticos o problemas clínicos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Los medicamentos indican dosis, vía y periodicidad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Las alergias están registradas en un lugar visible al recetar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Hay consentimiento informado firmado en procedimientos que lo requieren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Las notas de interconsulta o referencia están integradas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Letra legible, sin abreviaturas, sin tachaduras ni enmendaduras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Datos de identificación del paciente en cada hoja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El expediente se puede encontrar completo en menos de 5 minutos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Se sabe quién ha consultado el expediente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  <w:tr>
        <w:tc>
          <w:tcPr>
            <w:tcW w:type="dxa" w:w="5386"/>
          </w:tcPr>
          <w:p>
            <w:r>
              <w:rPr>
                <w:sz w:val="18"/>
              </w:rPr>
              <w:t>Se conserva al menos 5 años desde el último acto médico</w:t>
            </w:r>
          </w:p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  <w:tc>
          <w:tcPr>
            <w:tcW w:type="dxa" w:w="1738"/>
          </w:tcPr>
          <w:p/>
        </w:tc>
      </w:tr>
    </w:tbl>
    <w:p/>
    <w:p>
      <w:pPr>
        <w:spacing w:after="60"/>
      </w:pPr>
      <w:r>
        <w:rPr>
          <w:b w:val="0"/>
          <w:color w:val="666666"/>
          <w:sz w:val="18"/>
        </w:rPr>
        <w:t>Si cualquier respuesta es No, ahí está el riesgo. Esta lista es una guía práctica, no sustituye la lectura de la norma.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plixail.com.mx/recursos. Basada en la NOM-004-SSA3-2012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